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Приложение № 1</w:t>
      </w:r>
    </w:p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к Приказу ФАС России</w:t>
      </w:r>
    </w:p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от 19.04.2011 № 292</w:t>
      </w:r>
    </w:p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  Форма 9д-1</w:t>
      </w:r>
    </w:p>
    <w:p>
      <w:pPr>
        <w:ind w:left="0" w:right="0" w:firstLine="0"/>
        <w:jc w:val="center"/>
        <w:spacing w:lineRule="auto" w:line="240" w:after="240" w:before="240"/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Информация об условиях, на которых осуществляется выполнение (оказание) регулируемых работ (услуг) в аэропортах</w:t>
      </w:r>
    </w:p>
    <w:tbl>
      <w:tblPr>
        <w:tblStyle w:val="Style_11"/>
        <w:tblW w:w="14040" w:type="dxa"/>
        <w:tblInd w:w="93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108" w:type="dxa"/>
          <w:right w:w="108" w:type="dxa"/>
        </w:tblCellMar>
      </w:tblPr>
      <w:tblGrid>
        <w:gridCol w:w="14040"/>
      </w:tblGrid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предоставляемые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/>
                <w:lang w:val="ru-RU" w:bidi="ru-RU"/>
              </w:rPr>
              <w:t xml:space="preserve">АО «Аэропорт Салехард»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val="ru-RU" w:bidi="ru-RU"/>
              </w:rPr>
              <w:t xml:space="preserve">(наименование субъекта естественных монополий)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на территории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/>
                <w:lang w:val="ru-RU" w:bidi="ru-RU"/>
              </w:rPr>
              <w:t xml:space="preserve">аэропорта Салехард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val="ru-RU" w:bidi="ru-RU"/>
              </w:rPr>
              <w:t xml:space="preserve">(наименование аэропорта Российской Федерации)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за период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/>
                <w:lang w:val="ru-RU" w:bidi="ru-RU"/>
              </w:rPr>
              <w:t xml:space="preserve">сезон зима 2020/21 (с 25.10.2020 г. по 27.03.2021 г.)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сведения о юридическом лице: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/>
                <w:lang w:val="ru-RU" w:bidi="ru-RU"/>
              </w:rPr>
              <w:t xml:space="preserve">АО «Аэропорт Салехард», 629004, Российская Федерация, Ямало-Ненецкий автономный округ, ул. Авиационная, д. 22,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single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/>
                <w:lang w:val="ru-RU" w:bidi="ru-RU"/>
              </w:rPr>
              <w:t xml:space="preserve">Генеральный директор Хавер Николай Федорович, т. 8 (34922) 3-89-06, ф. 8 (34922) 3-89-07</w:t>
            </w:r>
          </w:p>
        </w:tc>
      </w:tr>
      <w:tr>
        <w:trPr>
          <w:trHeight w:val="289"/>
        </w:trP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4040" w:type="dxa"/>
            <w:vAlign w:val="bottom"/>
            <w:textDirection w:val="lrTb"/>
            <w:hideMark/>
            <w:noWrap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val="ru-RU" w:bidi="ru-RU"/>
              </w:rPr>
              <w:t xml:space="preserve">(наименование, место нахождения, ФИО руководителя, контактные данные)</w:t>
            </w:r>
          </w:p>
        </w:tc>
      </w:tr>
    </w:tbl>
    <w:p>
      <w:pPr>
        <w:ind w:left="0" w:right="0" w:firstLine="0"/>
        <w:jc w:val="left"/>
        <w:spacing w:lineRule="auto" w:line="240" w:after="24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15592" w:type="dxa"/>
        <w:tblInd w:w="17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454"/>
        <w:gridCol w:w="1814"/>
        <w:gridCol w:w="1134"/>
        <w:gridCol w:w="992"/>
        <w:gridCol w:w="29"/>
        <w:gridCol w:w="992"/>
        <w:gridCol w:w="849"/>
        <w:gridCol w:w="850"/>
        <w:gridCol w:w="993"/>
        <w:gridCol w:w="851"/>
        <w:gridCol w:w="850"/>
        <w:gridCol w:w="993"/>
        <w:gridCol w:w="823"/>
        <w:gridCol w:w="27"/>
        <w:gridCol w:w="823"/>
        <w:gridCol w:w="27"/>
        <w:gridCol w:w="824"/>
        <w:gridCol w:w="1275"/>
        <w:gridCol w:w="992"/>
      </w:tblGrid>
      <w:tr>
        <w:trPr>
          <w:cantSplit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454" w:type="dxa"/>
            <w:vAlign w:val="top"/>
            <w:vMerge w:val="restart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п/п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814" w:type="dxa"/>
            <w:vAlign w:val="top"/>
            <w:vMerge w:val="restart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Наимено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вание регули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руемых работ (услуг), затраты 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выпол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нение (оказание) которых включены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тарифы (сборы, плату), установ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ленные в сфере оказания услуг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портах</w:t>
            </w:r>
          </w:p>
        </w:tc>
        <w:tc>
          <w:tcPr>
            <w:gridSpan w:val="4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14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Перечень существенных условий договоров 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оказание регулируемых услуг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692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Порядок доступа к услугам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69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Порядок оказания услуг</w:t>
            </w:r>
          </w:p>
        </w:tc>
        <w:tc>
          <w:tcPr>
            <w:gridSpan w:val="5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52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Порядок оказания услуг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условиях ограниченной пропускной способности объектов инфраструктуры аэропорта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75" w:type="dxa"/>
            <w:vAlign w:val="top"/>
            <w:vMerge w:val="restart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Порядок подтверж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дения времен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интер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валов рейсов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vMerge w:val="restart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Условия конкур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сов по выде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лению времен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интер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валов выпол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нения рейсов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порту, проводи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мых опе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ратором 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(*)</w:t>
            </w:r>
          </w:p>
        </w:tc>
      </w:tr>
      <w:tr>
        <w:trPr>
          <w:cantSplit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454" w:type="dxa"/>
            <w:vAlign w:val="top"/>
            <w:vMerge w:val="continue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814" w:type="dxa"/>
            <w:vAlign w:val="top"/>
            <w:vMerge w:val="continue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13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назем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ному 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техни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ческому обслу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жива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2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хране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авиа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топлива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обеспе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чению заправки воздуш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судов авиатоп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ливом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49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назем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ному 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техни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ческому обслу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жива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хране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авиа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топлива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обеспе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чению заправки воздуш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судов авиатоп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ливом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назем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ному 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техни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ческому обслу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жива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хране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авиа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топлива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обеспе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чению заправки воздуш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судов авиатоп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ливом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назем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ному 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техни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ческому обслу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жива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аэро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порту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хране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нию авиа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топлива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2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 обеспе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чению заправки воздуш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ных судов авиатоп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ливом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75" w:type="dxa"/>
            <w:vAlign w:val="top"/>
            <w:vMerge w:val="continue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vMerge w:val="continue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45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81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13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2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49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6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7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8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9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10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11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12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13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2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14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7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15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16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45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bidi="ru-RU"/>
              </w:rPr>
              <w:t xml:space="preserve">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814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1. Обеспечение взлета, посадки и стоянки воздушных судов.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2. Предоставление аэровокзального комплекса.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3. Обеспечение авиационной безопасности.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4. Обслуживание пассажиров.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5. Обеспечение заправки воздушных судов авиационным топливом.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6. Хранение авиационного топлива.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134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1. Предмет договора (с указанием перечня выполняемых работ (оказываемых услуг, реализуемых товаров).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2. Стоимость услуг (товаров, работ). 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3. Порядок установления и изменения стоимости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4. 100% предварительная оплата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5. Право Аэропорта на приостановление выполнения принятых на себя обязательств по договору в случае нарушения Авиакомпанией своих обязательств по договору.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1. Предмет договора (с указанием перечня выполняемых работ (оказываемых услуг, реализуемых товаров).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2. Стоимость услуг (товаров, работ). 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3. Порядок установления и изменения стоимости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4. 100% предварительная оплата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5. Право Исполнителя на приостановление выполнения принятых на себя обязательств по договору в случае нарушения Заказчиком порядка оплаты.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21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1. Предмет договора (с указанием перечня выполняемых работ (оказываемых услуг, реализуемых товаров).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2. Стоимость услуг (товаров, работ). 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3. Порядок установления и изменения стоимости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4. 100% предварительная оплата услуг (товаров, работ).</w:t>
            </w:r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5. Право Исполнителя на приостановление выполнения принятых на себя обязательств по договору в случае нарушения Заказчиком порядка оплаты.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692" w:type="dxa"/>
            <w:vAlign w:val="top"/>
            <w:textDirection w:val="lrTb"/>
          </w:tcPr>
          <w:p>
            <w:pPr>
              <w:pStyle w:val="Style_22"/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Постановление Правительства РФ от 22.07.2009 № 599</w:t>
            </w:r>
          </w:p>
          <w:p>
            <w:pPr>
              <w:pStyle w:val="Style_22"/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(ред. от 31.01.2012) Путин В.В.</w:t>
            </w:r>
          </w:p>
          <w:p>
            <w:pPr>
              <w:pStyle w:val="Style_22"/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(«Собрание законодательства РФ», 27.07.2009, № 30, ст. 3836.)</w:t>
            </w:r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Приказ Минтранса РФ от 21.06.2010 г. №137 (Собрание законодательства РФ, 2010, № 33)</w:t>
            </w:r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Приказ Минтранса РФ от 17.07.2012 г. № 241 (ред. 22.07.2013) Аристов С.А. («Российская газета», № 186, 15.08.2012);</w:t>
            </w:r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Приказ Федеральной службы воздушного транспорта РФ от 15.05.2000 г. № 125 (ред. от 03.03.2005 г.) Андреев В.И. («Бюллетень нормативных актов федеральных органов исполнительной власти» от 31.06.2000 г. № 31)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69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tLeast" w:line="173" w:after="144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В соответствии с договором на обслуживание воздушных судов, договором по хранению авиатоплива, Гражданским кодексом РФ</w:t>
            </w:r>
          </w:p>
          <w:p>
            <w:pPr>
              <w:ind w:left="0" w:right="0" w:firstLine="0"/>
              <w:jc w:val="center"/>
              <w:spacing w:lineRule="atLeast" w:line="173" w:after="144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Приказ Минтранса России от 28.06.2007 N 82 (ред. от 05.10.2017)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(Зарегистрировано в Минюсте России 27.09.2007 N 10186) Левитин И. («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Российская газета» от 10.10.2007 г. № 225)</w:t>
            </w:r>
          </w:p>
          <w:p>
            <w:pPr>
              <w:ind w:left="0" w:right="0" w:firstLine="0"/>
              <w:jc w:val="center"/>
              <w:spacing w:lineRule="atLeast" w:line="173" w:after="144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outlineLvl w:val="0"/>
            </w:pPr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2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0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0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0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85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0</w:t>
            </w:r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75" w:type="dxa"/>
            <w:vAlign w:val="top"/>
            <w:textDirection w:val="lrTb"/>
          </w:tcPr>
          <w:p>
            <w:pPr>
              <w:pStyle w:val="Style_22"/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Постановление Правительства РФ от 22.07.2009 № 599</w:t>
            </w:r>
          </w:p>
          <w:p>
            <w:pPr>
              <w:pStyle w:val="Style_22"/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(ред. от 31.01.2012) Путин В.В. («Собрание законодательства РФ», 27.07.2009, № 30, ст. 3836.)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92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</w:tr>
    </w:tbl>
    <w:p>
      <w:pPr>
        <w:ind w:left="0" w:right="0" w:firstLine="567"/>
        <w:jc w:val="both"/>
        <w:spacing w:lineRule="auto" w:line="240" w:after="0" w:before="240"/>
        <w:rPr>
          <w:rFonts w:ascii="Times New Roman" w:hAnsi="Times New Roman" w:cs="Times New Roman" w:eastAsia="Times New Roman"/>
          <w:sz w:val="20"/>
          <w:szCs w:val="20"/>
          <w:u w:val="single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u w:val="single"/>
          <w:lang w:val="ru-RU" w:bidi="ru-RU"/>
        </w:rPr>
        <w:t xml:space="preserve">Примечания:</w:t>
      </w:r>
    </w:p>
    <w:p>
      <w:pPr>
        <w:numPr>
          <w:numId w:val="2"/>
          <w:ilvl w:val="0"/>
        </w:numPr>
        <w:ind w:left="927" w:right="0" w:hanging="360"/>
        <w:jc w:val="both"/>
        <w:spacing w:lineRule="auto" w:line="240" w:after="0"/>
        <w:tabs>
          <w:tab w:val="lef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lef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293 (в ред. от 21.04.2010)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br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17, ст.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1887; 2009, №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30, ст.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3836; 2010, №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19, ст.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2316).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>
      <w:pPr>
        <w:numPr>
          <w:numId w:val="2"/>
          <w:ilvl w:val="0"/>
        </w:numPr>
        <w:ind w:left="924" w:right="0" w:hanging="357"/>
        <w:jc w:val="both"/>
        <w:spacing w:lineRule="auto" w:line="240" w:after="0"/>
        <w:tabs>
          <w:tab w:val="right" w:pos="927"/>
          <w:tab w:val="left" w:pos="993"/>
        </w:tabs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sectPr>
      <w:headerReference w:type="default" r:id="rId9"/>
      <w:footnotePr>
        <w:pos w:val="pageBottom"/>
      </w:footnotePr>
      <w:type w:val="nextPage"/>
      <w:pgSz w:w="16840" w:h="11907" w:orient="landscape"/>
      <w:pgMar w:top="709" w:right="567" w:bottom="510" w:left="567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6"/>
      <w:ind w:left="0" w:right="0" w:firstLine="0"/>
      <w:jc w:val="right"/>
      <w:spacing w:lineRule="auto" w:line="240" w:after="0"/>
      <w:tabs>
        <w:tab w:val="center" w:pos="4153"/>
        <w:tab w:val="right" w:pos="8306"/>
      </w:tabs>
      <w:rPr>
        <w:rFonts w:ascii="Times New Roman" w:hAnsi="Times New Roman" w:cs="Times New Roman" w:eastAsia="Times New Roman"/>
        <w:b/>
        <w:bCs/>
        <w:sz w:val="14"/>
        <w:szCs w:val="14"/>
        <w:lang w:val="ru-RU" w:bidi="ru-RU"/>
      </w:rPr>
    </w:pPr>
    <w:r>
      <w:rPr>
        <w:rFonts w:ascii="Times New Roman" w:hAnsi="Times New Roman" w:cs="Times New Roman" w:eastAsia="Times New Roman"/>
        <w:sz w:val="14"/>
        <w:szCs w:val="14"/>
        <w:lang w:val="ru-RU" w:bidi="ru-RU"/>
      </w:rPr>
      <w:t xml:space="preserve">Подготовлено с использованием системы </w:t>
    </w:r>
    <w:r>
      <w:rPr>
        <w:rFonts w:ascii="Times New Roman" w:hAnsi="Times New Roman" w:cs="Times New Roman" w:eastAsia="Times New Roman"/>
        <w:b/>
        <w:bCs/>
        <w:sz w:val="14"/>
        <w:szCs w:val="14"/>
        <w:lang w:val="ru-RU" w:bidi="ru-RU"/>
      </w:rPr>
      <w:t xml:space="preserve">Консультант 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522854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cs="Times New Roman" w:eastAsia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cs="Times New Roman" w:eastAsia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cs="Times New Roman" w:eastAsia="Times New Roman"/>
      </w:rPr>
    </w:lvl>
  </w:abstractNum>
  <w:abstractNum w:abstractNumId="43641312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cs="Times New Roman" w:eastAsia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cs="Times New Roman" w:eastAsia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cs="Times New Roman" w:eastAsia="Times New Roman"/>
      </w:rPr>
    </w:lvl>
  </w:abstractNum>
  <w:abstractNum w:abstractNumId="146882072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ascii="Times New Roman" w:hAnsi="Times New Roman" w:cs="Times New Roman" w:eastAsia="Times New Roman"/>
      </w:rPr>
    </w:lvl>
  </w:abstractNum>
  <w:abstractNum w:abstractNumId="1578397803">
    <w:multiLevelType w:val="hybridMultilevel"/>
    <w:lvl w:ilvl="0">
      <w:start w:val="3"/>
      <w:numFmt w:val="decimal"/>
      <w:suff w:val="tab"/>
      <w:lvlText w:val="%1."/>
      <w:lvlJc w:val="left"/>
      <w:pPr>
        <w:ind w:left="570" w:hanging="570"/>
      </w:pPr>
      <w:rPr>
        <w:rFonts w:ascii="Times New Roman" w:hAnsi="Times New Roman" w:cs="Times New Roman" w:eastAsia="Times New Roman"/>
      </w:rPr>
    </w:lvl>
  </w:abstractNum>
  <w:num w:numId="1">
    <w:abstractNumId w:val="1578397803"/>
  </w:num>
  <w:num w:numId="2">
    <w:abstractNumId w:val="1468820720"/>
  </w:num>
  <w:num w:numId="3">
    <w:abstractNumId w:val="335228544"/>
  </w:num>
  <w:num w:numId="4">
    <w:abstractNumId w:val="4364131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m:mathPr>
    <m:mathFont m:val="Cambria Math"/>
    <m:brkBin m:val="before"/>
    <m:brkBinSub m:val="--"/>
    <m:lMargin m:val="0"/>
    <m:rMargin m:val="0"/>
    <m:defJc m:val="center"/>
    <m:wrapIndent m:val="1440"/>
    <m:intLim m:val="subSup"/>
    <m:naryLim m:val="undOvr"/>
  </m:mathPr>
  <w:footnotePr>
    <w:footnote w:id="0"/>
    <w:footnote w:id="1"/>
    <w:pos w:val="pageBottom"/>
  </w:footnotePr>
  <w:endnotePr>
    <w:endnote w:id="0"/>
    <w:endnote w:id="1"/>
    <w:pos w:val="docEnd"/>
  </w:endnotePr>
  <w:compat>
    <w:forgetLastTabAlignment w:val="true"/>
    <w:doNotUseHTMLParagraphAutoSpacing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jc w:val="left"/>
        <w:spacing w:lineRule="auto" w:line="240" w:after="0" w:before="0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qFormat/>
    <w:uiPriority w:val="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rPr>
        <w:rFonts w:ascii="Times New Roman" w:hAnsi="Times New Roman" w:cs="Times New Roman" w:eastAsia="Times New Roman"/>
      </w:rPr>
    </w:pPr>
  </w:style>
  <w:style w:type="paragraph" w:styleId="Style_1">
    <w:name w:val="heading 1"/>
    <w:basedOn w:val="Style_0"/>
    <w:locked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val="ru-RU" w:bidi="ru-RU"/>
    </w:rPr>
    <w:pPr>
      <w:ind w:left="0" w:right="0"/>
      <w:jc w:val="left"/>
      <w:spacing w:lineRule="auto" w:line="240" w:after="100" w:afterAutospacing="1" w:before="100" w:beforeAutospacing="1"/>
      <w:rPr>
        <w:rFonts w:ascii="Times New Roman" w:hAnsi="Times New Roman" w:cs="Times New Roman" w:eastAsia="Times New Roman"/>
      </w:rPr>
      <w:outlineLvl w:val="0"/>
    </w:pPr>
  </w:style>
  <w:style w:type="character" w:styleId="Style_10">
    <w:name w:val="Default Paragraph Font"/>
    <w:semiHidden/>
    <w:rPr>
      <w:rFonts w:ascii="Times New Roman" w:hAnsi="Times New Roman" w:cs="Times New Roman" w:eastAsia="Times New Roman"/>
      <w:sz w:val="24"/>
    </w:rPr>
  </w:style>
  <w:style w:type="table" w:styleId="Style_11">
    <w:name w:val="Normal Table"/>
    <w:qFormat/>
    <w:semiHidden/>
    <w:unhideWhenUsed/>
    <w:rPr>
      <w:rFonts w:ascii="Times New Roman" w:hAnsi="Times New Roman" w:cs="Times New Roman" w:eastAsia="Times New Roman"/>
      <w:sz w:val="22"/>
      <w:szCs w:val="22"/>
      <w:lang w:val="ru-RU" w:bidi="ru-RU"/>
    </w:rPr>
    <w:pPr>
      <w:ind w:left="0" w:right="0"/>
      <w:jc w:val="left"/>
      <w:spacing w:lineRule="auto" w:line="276" w:after="200"/>
      <w:rPr>
        <w:rFonts w:ascii="Times New Roman" w:hAnsi="Times New Roman" w:cs="Times New Roman" w:eastAsia="Times New Roman"/>
      </w:rPr>
    </w:pPr>
    <w:tblPr/>
  </w:style>
  <w:style w:type="character" w:styleId="Style_15">
    <w:name w:val="Заголовок 1 Знак"/>
    <w:basedOn w:val="Style_10"/>
    <w:locked/>
    <w:uiPriority w:val="9"/>
    <w:rPr>
      <w:rFonts w:ascii="Times New Roman" w:hAnsi="Times New Roman" w:cs="Times New Roman" w:eastAsia="Times New Roman"/>
      <w:b/>
      <w:sz w:val="48"/>
    </w:rPr>
  </w:style>
  <w:style w:type="paragraph" w:styleId="Style_16">
    <w:name w:val="head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7">
    <w:name w:val="Верх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8">
    <w:name w:val="foot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9">
    <w:name w:val="Ниж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20">
    <w:name w:val="ConsNormal"/>
    <w:rPr>
      <w:rFonts w:ascii="Courier New" w:hAnsi="Courier New" w:cs="Courier New" w:eastAsia="Courier New"/>
      <w:sz w:val="20"/>
      <w:szCs w:val="20"/>
      <w:lang w:val="ru-RU" w:bidi="ru-RU"/>
    </w:rPr>
    <w:pPr>
      <w:ind w:left="0" w:right="19772" w:firstLine="540"/>
      <w:jc w:val="both"/>
      <w:spacing w:lineRule="auto" w:line="240" w:after="0"/>
      <w:rPr>
        <w:rFonts w:ascii="Times New Roman" w:hAnsi="Times New Roman" w:cs="Times New Roman" w:eastAsia="Times New Roman"/>
      </w:rPr>
    </w:pPr>
  </w:style>
  <w:style w:type="paragraph" w:styleId="Style_21">
    <w:name w:val="ConsNonformat"/>
    <w:rPr>
      <w:rFonts w:ascii="Courier New" w:hAnsi="Courier New" w:cs="Courier New" w:eastAsia="Courier New"/>
      <w:sz w:val="20"/>
      <w:szCs w:val="20"/>
      <w:lang w:val="ru-RU" w:bidi="ru-RU"/>
    </w:rPr>
    <w:pPr>
      <w:ind w:left="0" w:right="0"/>
      <w:jc w:val="both"/>
      <w:spacing w:lineRule="auto" w:line="240" w:after="0"/>
      <w:rPr>
        <w:rFonts w:ascii="Times New Roman" w:hAnsi="Times New Roman" w:cs="Times New Roman" w:eastAsia="Times New Roman"/>
      </w:rPr>
    </w:pPr>
  </w:style>
  <w:style w:type="paragraph" w:styleId="Style_22">
    <w:name w:val="ConsPlusNormal"/>
    <w:rPr>
      <w:rFonts w:ascii="Arial" w:hAnsi="Arial" w:cs="Arial" w:eastAsia="Arial"/>
      <w:sz w:val="20"/>
      <w:szCs w:val="20"/>
      <w:lang w:val="ru-RU" w:bidi="ru-RU"/>
    </w:rPr>
    <w:pPr>
      <w:ind w:left="0" w:right="0" w:firstLine="720"/>
      <w:jc w:val="left"/>
      <w:spacing w:lineRule="auto" w:line="240" w:after="0"/>
      <w:rPr>
        <w:rFonts w:ascii="Times New Roman" w:hAnsi="Times New Roman" w:cs="Times New Roman" w:eastAsia="Times New Roman"/>
      </w:r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haractersWithSpaces>6524</CharactersWithSpaces>
  <DocSecurity>0</DocSecurity>
  <HyperlinksChanged>false</HyperlinksChanged>
  <LinksUpToDate>false</LinksUpToDate>
  <Pages>3</Pages>
  <ScaleCrop>false</ScaleCrop>
  <SharedDoc>false</SharedDoc>
  <TotalTime>4</TotalTime>
  <Words>938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